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F19BF" w14:textId="28D494FF" w:rsidR="00D577A4" w:rsidRPr="006E0A29" w:rsidRDefault="00D577A4" w:rsidP="00D577A4">
      <w:pPr>
        <w:jc w:val="center"/>
        <w:rPr>
          <w:b/>
          <w:bCs/>
          <w:sz w:val="26"/>
          <w:szCs w:val="26"/>
        </w:rPr>
      </w:pPr>
      <w:r w:rsidRPr="006E0A29">
        <w:rPr>
          <w:b/>
          <w:bCs/>
          <w:sz w:val="26"/>
          <w:szCs w:val="26"/>
        </w:rPr>
        <w:t xml:space="preserve">Proposed Revisions to the 2017 Florida Building Code – </w:t>
      </w:r>
      <w:r>
        <w:rPr>
          <w:b/>
          <w:bCs/>
          <w:sz w:val="26"/>
          <w:szCs w:val="26"/>
        </w:rPr>
        <w:t>Residential</w:t>
      </w:r>
      <w:r w:rsidRPr="006E0A29">
        <w:rPr>
          <w:b/>
          <w:bCs/>
          <w:sz w:val="26"/>
          <w:szCs w:val="26"/>
        </w:rPr>
        <w:t>, Sixth Edition</w:t>
      </w:r>
    </w:p>
    <w:p w14:paraId="1DA04FE4" w14:textId="1CB6468E" w:rsidR="00D577A4" w:rsidRPr="00B2116C" w:rsidRDefault="00D577A4" w:rsidP="00D577A4">
      <w:pPr>
        <w:jc w:val="center"/>
        <w:rPr>
          <w:b/>
          <w:bCs/>
        </w:rPr>
      </w:pPr>
      <w:r w:rsidRPr="00B2116C">
        <w:rPr>
          <w:b/>
          <w:bCs/>
        </w:rPr>
        <w:t>CHAPTER</w:t>
      </w:r>
      <w:r>
        <w:rPr>
          <w:b/>
          <w:bCs/>
        </w:rPr>
        <w:t xml:space="preserve"> 46</w:t>
      </w:r>
      <w:r w:rsidRPr="00B2116C">
        <w:rPr>
          <w:b/>
          <w:bCs/>
        </w:rPr>
        <w:br/>
        <w:t>REFERENCED STANDARDS</w:t>
      </w:r>
    </w:p>
    <w:p w14:paraId="58493E6C" w14:textId="01C80892" w:rsidR="00D577A4" w:rsidRPr="00FE7DFE" w:rsidRDefault="00D577A4" w:rsidP="00D577A4">
      <w:pPr>
        <w:rPr>
          <w:b/>
          <w:bCs/>
          <w:strike/>
        </w:rPr>
      </w:pPr>
      <w:r w:rsidRPr="00FE7DFE">
        <w:rPr>
          <w:b/>
          <w:bCs/>
          <w:strike/>
        </w:rPr>
        <w:t>ANCE</w:t>
      </w:r>
    </w:p>
    <w:p w14:paraId="2FEDADFF" w14:textId="234134A1" w:rsidR="00D577A4" w:rsidRPr="00FE7DFE" w:rsidRDefault="00D577A4" w:rsidP="00D577A4">
      <w:pPr>
        <w:ind w:left="3600" w:hanging="3600"/>
        <w:rPr>
          <w:strike/>
        </w:rPr>
      </w:pPr>
      <w:r w:rsidRPr="00FE7DFE">
        <w:rPr>
          <w:strike/>
        </w:rPr>
        <w:t>UL/CSA/ANCE 60335-2-40—2012</w:t>
      </w:r>
      <w:r w:rsidRPr="00FE7DFE">
        <w:rPr>
          <w:strike/>
        </w:rPr>
        <w:tab/>
        <w:t>Standard for Household and Similar Electrical Appliances, Part 2: Particular Requirements for Motor-compressors</w:t>
      </w:r>
      <w:r w:rsidRPr="00FE7DFE">
        <w:rPr>
          <w:strike/>
        </w:rPr>
        <w:tab/>
      </w:r>
    </w:p>
    <w:p w14:paraId="4C38D193" w14:textId="77777777" w:rsidR="00D577A4" w:rsidRPr="00FE7DFE" w:rsidRDefault="00D577A4" w:rsidP="00D577A4">
      <w:pPr>
        <w:ind w:left="3600"/>
        <w:rPr>
          <w:strike/>
        </w:rPr>
      </w:pPr>
      <w:r w:rsidRPr="00FE7DFE">
        <w:rPr>
          <w:strike/>
        </w:rPr>
        <w:t>M1403.1, M1412.1, M1413.1</w:t>
      </w:r>
    </w:p>
    <w:p w14:paraId="71FD79BD" w14:textId="77777777" w:rsidR="00D577A4" w:rsidRDefault="00D577A4" w:rsidP="00D577A4">
      <w:pPr>
        <w:rPr>
          <w:b/>
          <w:bCs/>
        </w:rPr>
      </w:pPr>
    </w:p>
    <w:p w14:paraId="2A25ADD1" w14:textId="17BD67F1" w:rsidR="00D577A4" w:rsidRPr="0064414F" w:rsidRDefault="00D577A4" w:rsidP="00D577A4">
      <w:pPr>
        <w:rPr>
          <w:b/>
          <w:bCs/>
        </w:rPr>
      </w:pPr>
      <w:r w:rsidRPr="0064414F">
        <w:rPr>
          <w:b/>
          <w:bCs/>
        </w:rPr>
        <w:t>ASHRAE</w:t>
      </w:r>
    </w:p>
    <w:p w14:paraId="14A53748" w14:textId="0AA0292F" w:rsidR="00D577A4" w:rsidRPr="00B2116C" w:rsidRDefault="00D577A4" w:rsidP="00D577A4">
      <w:r w:rsidRPr="00B2116C">
        <w:t>34—</w:t>
      </w:r>
      <w:r w:rsidRPr="00B2116C">
        <w:rPr>
          <w:strike/>
        </w:rPr>
        <w:t>2013</w:t>
      </w:r>
      <w:r w:rsidRPr="00B2116C">
        <w:rPr>
          <w:u w:val="single"/>
        </w:rPr>
        <w:t>2019</w:t>
      </w:r>
      <w:r>
        <w:tab/>
      </w:r>
      <w:r>
        <w:tab/>
      </w:r>
      <w:r>
        <w:tab/>
      </w:r>
      <w:r>
        <w:tab/>
      </w:r>
      <w:r w:rsidRPr="00B2116C">
        <w:t>Designation and Safety Classification of Refrigerants</w:t>
      </w:r>
    </w:p>
    <w:p w14:paraId="21468448" w14:textId="713F33D0" w:rsidR="00D577A4" w:rsidRDefault="00B050D1" w:rsidP="00D577A4">
      <w:pPr>
        <w:ind w:left="2880" w:firstLine="720"/>
      </w:pPr>
      <w:r>
        <w:t>M1411.1</w:t>
      </w:r>
    </w:p>
    <w:p w14:paraId="294D72ED" w14:textId="77777777" w:rsidR="00D577A4" w:rsidRPr="0064414F" w:rsidRDefault="00D577A4" w:rsidP="00D577A4">
      <w:pPr>
        <w:rPr>
          <w:b/>
          <w:bCs/>
        </w:rPr>
      </w:pPr>
      <w:r w:rsidRPr="0064414F">
        <w:rPr>
          <w:b/>
          <w:bCs/>
        </w:rPr>
        <w:t>CSA</w:t>
      </w:r>
    </w:p>
    <w:p w14:paraId="6A20EC29" w14:textId="64ED083C" w:rsidR="00D577A4" w:rsidRPr="00D577A4" w:rsidRDefault="00D577A4" w:rsidP="00D577A4">
      <w:pPr>
        <w:ind w:left="3600" w:hanging="3600"/>
      </w:pPr>
      <w:bookmarkStart w:id="0" w:name="_Hlk36455254"/>
      <w:r w:rsidRPr="00D577A4">
        <w:t>UL/CSA</w:t>
      </w:r>
      <w:r w:rsidR="00FE7DFE" w:rsidRPr="00FE7DFE">
        <w:rPr>
          <w:strike/>
        </w:rPr>
        <w:t>/ANCE</w:t>
      </w:r>
      <w:r w:rsidRPr="00D577A4">
        <w:t xml:space="preserve"> 60335-2-40—</w:t>
      </w:r>
      <w:r w:rsidRPr="00D577A4">
        <w:rPr>
          <w:strike/>
        </w:rPr>
        <w:t>2012</w:t>
      </w:r>
      <w:r w:rsidRPr="00D577A4">
        <w:rPr>
          <w:u w:val="single"/>
        </w:rPr>
        <w:t>2019</w:t>
      </w:r>
      <w:r w:rsidRPr="00D577A4">
        <w:tab/>
        <w:t>Standard for Household and Similar Electrical Appliances, Part 2: Particular Requirements for Motor-compressors</w:t>
      </w:r>
      <w:r w:rsidRPr="00D577A4">
        <w:tab/>
      </w:r>
      <w:r w:rsidR="00F1474C">
        <w:t xml:space="preserve"> </w:t>
      </w:r>
      <w:r w:rsidR="00F1474C" w:rsidRPr="00F1474C">
        <w:rPr>
          <w:u w:val="single"/>
        </w:rPr>
        <w:t>- 3</w:t>
      </w:r>
      <w:r w:rsidR="00F1474C" w:rsidRPr="00F1474C">
        <w:rPr>
          <w:u w:val="single"/>
          <w:vertAlign w:val="superscript"/>
        </w:rPr>
        <w:t>rd</w:t>
      </w:r>
      <w:r w:rsidR="00F1474C" w:rsidRPr="00F1474C">
        <w:rPr>
          <w:u w:val="single"/>
        </w:rPr>
        <w:t xml:space="preserve"> Edition</w:t>
      </w:r>
    </w:p>
    <w:p w14:paraId="7ABE5A1C" w14:textId="77777777" w:rsidR="00D577A4" w:rsidRDefault="00D577A4" w:rsidP="00D577A4">
      <w:pPr>
        <w:ind w:left="3600"/>
      </w:pPr>
      <w:r w:rsidRPr="00D577A4">
        <w:t>M1403.1, M1412.1, M1413.1</w:t>
      </w:r>
    </w:p>
    <w:bookmarkEnd w:id="0"/>
    <w:p w14:paraId="21D4C3E5" w14:textId="77777777" w:rsidR="00D577A4" w:rsidRDefault="00D577A4" w:rsidP="00D577A4"/>
    <w:p w14:paraId="50A349B7" w14:textId="6AD2535B" w:rsidR="00D577A4" w:rsidRPr="00D577A4" w:rsidRDefault="00D577A4" w:rsidP="00D577A4">
      <w:pPr>
        <w:rPr>
          <w:b/>
          <w:bCs/>
        </w:rPr>
      </w:pPr>
      <w:r w:rsidRPr="00D577A4">
        <w:rPr>
          <w:b/>
          <w:bCs/>
        </w:rPr>
        <w:t>UL</w:t>
      </w:r>
    </w:p>
    <w:p w14:paraId="234FD0CB" w14:textId="6FFA39A0" w:rsidR="00D577A4" w:rsidRPr="00B2116C" w:rsidRDefault="00D577A4" w:rsidP="00D577A4">
      <w:r w:rsidRPr="00B2116C">
        <w:t>1995—</w:t>
      </w:r>
      <w:r w:rsidRPr="00B2116C">
        <w:rPr>
          <w:strike/>
        </w:rPr>
        <w:t>2011</w:t>
      </w:r>
      <w:r>
        <w:rPr>
          <w:u w:val="single"/>
        </w:rPr>
        <w:t>2015</w:t>
      </w:r>
      <w:r>
        <w:tab/>
      </w:r>
      <w:r>
        <w:tab/>
      </w:r>
      <w:r w:rsidR="00751392">
        <w:tab/>
      </w:r>
      <w:r w:rsidRPr="00B2116C">
        <w:t>Heating and Cooling Equipment</w:t>
      </w:r>
      <w:r>
        <w:t xml:space="preserve"> </w:t>
      </w:r>
    </w:p>
    <w:p w14:paraId="21ECB05D" w14:textId="77777777" w:rsidR="00265A8D" w:rsidRPr="00265A8D" w:rsidRDefault="00265A8D" w:rsidP="00751392">
      <w:pPr>
        <w:ind w:left="2880" w:firstLine="720"/>
      </w:pPr>
      <w:r w:rsidRPr="00265A8D">
        <w:t>M1402.1,</w:t>
      </w:r>
      <w:r w:rsidRPr="00265A8D">
        <w:rPr>
          <w:strike/>
        </w:rPr>
        <w:t xml:space="preserve"> </w:t>
      </w:r>
      <w:r w:rsidRPr="00265A8D">
        <w:t>M1403.1, M1407.1, M1412.1, M1413.1</w:t>
      </w:r>
    </w:p>
    <w:p w14:paraId="36D8EC47" w14:textId="5C553FD2" w:rsidR="00D577A4" w:rsidRDefault="00D577A4" w:rsidP="00751392">
      <w:pPr>
        <w:ind w:left="3600" w:hanging="3600"/>
        <w:rPr>
          <w:u w:val="single"/>
        </w:rPr>
      </w:pPr>
      <w:r>
        <w:t>UL/CSA</w:t>
      </w:r>
      <w:r w:rsidR="00751392" w:rsidRPr="00FE7DFE">
        <w:rPr>
          <w:strike/>
        </w:rPr>
        <w:t>/ANCE</w:t>
      </w:r>
      <w:r>
        <w:t xml:space="preserve"> </w:t>
      </w:r>
      <w:r w:rsidRPr="00751392">
        <w:t>60335-2-40-</w:t>
      </w:r>
      <w:r w:rsidR="00751392" w:rsidRPr="00751392">
        <w:rPr>
          <w:strike/>
        </w:rPr>
        <w:t>2012</w:t>
      </w:r>
      <w:r w:rsidRPr="00751392">
        <w:rPr>
          <w:u w:val="single"/>
        </w:rPr>
        <w:t>2019</w:t>
      </w:r>
      <w:r>
        <w:tab/>
      </w:r>
      <w:r w:rsidR="00A70AA0" w:rsidRPr="00A70AA0">
        <w:t xml:space="preserve">Standard for Household and Similar Electrical Appliances, Part 2: Particular Requirements for Motor-compressors </w:t>
      </w:r>
      <w:r w:rsidRPr="00751392">
        <w:rPr>
          <w:u w:val="single"/>
        </w:rPr>
        <w:t>– 3</w:t>
      </w:r>
      <w:r w:rsidRPr="00751392">
        <w:rPr>
          <w:u w:val="single"/>
          <w:vertAlign w:val="superscript"/>
        </w:rPr>
        <w:t>rd</w:t>
      </w:r>
      <w:r w:rsidRPr="00751392">
        <w:rPr>
          <w:u w:val="single"/>
        </w:rPr>
        <w:t xml:space="preserve"> Edition</w:t>
      </w:r>
    </w:p>
    <w:p w14:paraId="17C70819" w14:textId="6F2B3704" w:rsidR="00AE4238" w:rsidRDefault="00AE4238" w:rsidP="00D577A4">
      <w:pPr>
        <w:ind w:left="2880" w:hanging="2880"/>
      </w:pPr>
      <w:r>
        <w:tab/>
      </w:r>
      <w:r w:rsidR="00751392">
        <w:tab/>
      </w:r>
      <w:r>
        <w:t>M1403.1, M1412.1, M1413.1</w:t>
      </w:r>
    </w:p>
    <w:p w14:paraId="5192E92A" w14:textId="77777777" w:rsidR="003D62E5" w:rsidRDefault="003D62E5" w:rsidP="00D577A4"/>
    <w:p w14:paraId="3AED2301" w14:textId="40D19202" w:rsidR="00D577A4" w:rsidRDefault="00D577A4" w:rsidP="00D577A4">
      <w:r w:rsidRPr="003D02B4">
        <w:t xml:space="preserve">Rationale: </w:t>
      </w:r>
      <w:r w:rsidR="0082358F">
        <w:t>T</w:t>
      </w:r>
      <w:r w:rsidRPr="003D02B4">
        <w:t xml:space="preserve">he latest edition of this </w:t>
      </w:r>
      <w:r w:rsidR="0082358F">
        <w:t xml:space="preserve">UL/CSA 60335-2-40 </w:t>
      </w:r>
      <w:r w:rsidRPr="003D02B4">
        <w:t xml:space="preserve">standard is the 3rd Edition – 2019.  </w:t>
      </w:r>
      <w:r>
        <w:t>The 2021 ICC International Mechanical Code will include a reference to UL/CSA 60335-2-40</w:t>
      </w:r>
      <w:r w:rsidR="0082358F">
        <w:t>-2019 3rd Edition</w:t>
      </w:r>
      <w:r>
        <w:t xml:space="preserve"> in the sections identified. </w:t>
      </w:r>
      <w:r w:rsidR="00FE7DFE">
        <w:t xml:space="preserve"> The references to ANCE as a sponsor of this standard has been removed as ANCE in Mexico withdrew from the 3</w:t>
      </w:r>
      <w:r w:rsidR="00FE7DFE" w:rsidRPr="00FE7DFE">
        <w:rPr>
          <w:vertAlign w:val="superscript"/>
        </w:rPr>
        <w:t>rd</w:t>
      </w:r>
      <w:r w:rsidR="00FE7DFE">
        <w:t xml:space="preserve"> Edition is no longer associated with this standard after the 2</w:t>
      </w:r>
      <w:r w:rsidR="00FE7DFE" w:rsidRPr="00FE7DFE">
        <w:rPr>
          <w:vertAlign w:val="superscript"/>
        </w:rPr>
        <w:t>nd</w:t>
      </w:r>
      <w:r w:rsidR="00FE7DFE">
        <w:t xml:space="preserve"> Edition.</w:t>
      </w:r>
    </w:p>
    <w:p w14:paraId="49527EC7" w14:textId="42D61023" w:rsidR="00B71710" w:rsidRDefault="00D577A4" w:rsidP="00B71710">
      <w:r>
        <w:t xml:space="preserve">While the current proposal in front of the Florida Building Commission is to update the ASHRAE 34 standards to the 2016 edition, </w:t>
      </w:r>
      <w:r w:rsidR="00B71710">
        <w:t>my proposal is to update th</w:t>
      </w:r>
      <w:r w:rsidR="00B71710">
        <w:t>i</w:t>
      </w:r>
      <w:r w:rsidR="00B71710">
        <w:t xml:space="preserve">s referenced standard to the 2019 edition. This would allow for products approved to the latest version of the newest UL Standard to be included.  Many manufacturers, including Goodman, will be transitioning away from UL 1995 to UL 60335-2-40 for new products over the next few years, because UL 1995 be obsoleted effective 1/1/2024 (please see attached timeline from UL and attached white paper from Intertek [1]).  The newest 3rd edition of UL 60335-2-40, </w:t>
      </w:r>
      <w:r w:rsidR="00B71710">
        <w:lastRenderedPageBreak/>
        <w:t>published November 2019 has many new requirements for electrical and refrigerant safety.  The 3rd edition includes requirements for UV-C germicidal lamp systems, CO2 systems, photovoltaic systems, new marking requirements, water ingress rating system as well as allowances for Low GWP Group A2L refrigerants</w:t>
      </w:r>
      <w:bookmarkStart w:id="1" w:name="_GoBack"/>
      <w:bookmarkEnd w:id="1"/>
      <w:r w:rsidR="00B71710">
        <w:t>. ASHRAE 34-2019 includes many new Low GWP refrigerants that do not appear in previous editions of the standard.  It should be noted that the 2021 ICC International Mechanical Code references the 2019 edition of ASHRAE 15 and ASHRAE 34.</w:t>
      </w:r>
    </w:p>
    <w:p w14:paraId="7CD68649" w14:textId="77777777" w:rsidR="00B71710" w:rsidRDefault="00B71710" w:rsidP="00B71710"/>
    <w:p w14:paraId="49A9A368" w14:textId="4CEA913C" w:rsidR="00D577A4" w:rsidRDefault="00B71710" w:rsidP="00B71710">
      <w:r>
        <w:t xml:space="preserve">[1] Note that Intertek wrote their white paper (referencing the 2nd edition of UL 60335-2-40) prior to publication of the 3rd edition.  The 3rd edition scope is modified such that all products within the scope of UL 1995 (a problem with the 2nd edition mentioned in the white paper) are now within scope of UL 60335-2-40.  </w:t>
      </w:r>
    </w:p>
    <w:sectPr w:rsidR="00D577A4" w:rsidSect="005E5128">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B9"/>
    <w:rsid w:val="00021B22"/>
    <w:rsid w:val="00047EC4"/>
    <w:rsid w:val="000B0C90"/>
    <w:rsid w:val="000D4122"/>
    <w:rsid w:val="001A5F50"/>
    <w:rsid w:val="002659EF"/>
    <w:rsid w:val="00265A8D"/>
    <w:rsid w:val="0032146A"/>
    <w:rsid w:val="003C1C5E"/>
    <w:rsid w:val="003C3372"/>
    <w:rsid w:val="003D02B4"/>
    <w:rsid w:val="003D62E5"/>
    <w:rsid w:val="005E5128"/>
    <w:rsid w:val="0064414F"/>
    <w:rsid w:val="006A3FC2"/>
    <w:rsid w:val="006C5CCC"/>
    <w:rsid w:val="006E0A29"/>
    <w:rsid w:val="00751392"/>
    <w:rsid w:val="00776C27"/>
    <w:rsid w:val="0082358F"/>
    <w:rsid w:val="00843890"/>
    <w:rsid w:val="008607BF"/>
    <w:rsid w:val="00A70AA0"/>
    <w:rsid w:val="00A94773"/>
    <w:rsid w:val="00AB764C"/>
    <w:rsid w:val="00AE4238"/>
    <w:rsid w:val="00B050D1"/>
    <w:rsid w:val="00B2116C"/>
    <w:rsid w:val="00B429B9"/>
    <w:rsid w:val="00B71710"/>
    <w:rsid w:val="00BC5551"/>
    <w:rsid w:val="00BE47B5"/>
    <w:rsid w:val="00C10BD4"/>
    <w:rsid w:val="00C3777F"/>
    <w:rsid w:val="00C97E0D"/>
    <w:rsid w:val="00D55AB4"/>
    <w:rsid w:val="00D577A4"/>
    <w:rsid w:val="00D90AFE"/>
    <w:rsid w:val="00E754F4"/>
    <w:rsid w:val="00EE2871"/>
    <w:rsid w:val="00F1474C"/>
    <w:rsid w:val="00FE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E069"/>
  <w15:chartTrackingRefBased/>
  <w15:docId w15:val="{21F61EAE-36FD-4E76-9709-0CF2638E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1839">
      <w:bodyDiv w:val="1"/>
      <w:marLeft w:val="0"/>
      <w:marRight w:val="0"/>
      <w:marTop w:val="0"/>
      <w:marBottom w:val="0"/>
      <w:divBdr>
        <w:top w:val="none" w:sz="0" w:space="0" w:color="auto"/>
        <w:left w:val="none" w:sz="0" w:space="0" w:color="auto"/>
        <w:bottom w:val="none" w:sz="0" w:space="0" w:color="auto"/>
        <w:right w:val="none" w:sz="0" w:space="0" w:color="auto"/>
      </w:divBdr>
      <w:divsChild>
        <w:div w:id="862398657">
          <w:marLeft w:val="0"/>
          <w:marRight w:val="0"/>
          <w:marTop w:val="0"/>
          <w:marBottom w:val="0"/>
          <w:divBdr>
            <w:top w:val="none" w:sz="0" w:space="0" w:color="auto"/>
            <w:left w:val="none" w:sz="0" w:space="0" w:color="auto"/>
            <w:bottom w:val="none" w:sz="0" w:space="0" w:color="auto"/>
            <w:right w:val="none" w:sz="0" w:space="0" w:color="auto"/>
          </w:divBdr>
          <w:divsChild>
            <w:div w:id="3796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038">
      <w:bodyDiv w:val="1"/>
      <w:marLeft w:val="0"/>
      <w:marRight w:val="0"/>
      <w:marTop w:val="0"/>
      <w:marBottom w:val="0"/>
      <w:divBdr>
        <w:top w:val="none" w:sz="0" w:space="0" w:color="auto"/>
        <w:left w:val="none" w:sz="0" w:space="0" w:color="auto"/>
        <w:bottom w:val="none" w:sz="0" w:space="0" w:color="auto"/>
        <w:right w:val="none" w:sz="0" w:space="0" w:color="auto"/>
      </w:divBdr>
      <w:divsChild>
        <w:div w:id="889195471">
          <w:marLeft w:val="0"/>
          <w:marRight w:val="0"/>
          <w:marTop w:val="0"/>
          <w:marBottom w:val="0"/>
          <w:divBdr>
            <w:top w:val="none" w:sz="0" w:space="0" w:color="auto"/>
            <w:left w:val="none" w:sz="0" w:space="0" w:color="auto"/>
            <w:bottom w:val="none" w:sz="0" w:space="0" w:color="auto"/>
            <w:right w:val="none" w:sz="0" w:space="0" w:color="auto"/>
          </w:divBdr>
          <w:divsChild>
            <w:div w:id="17467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3136">
      <w:bodyDiv w:val="1"/>
      <w:marLeft w:val="0"/>
      <w:marRight w:val="0"/>
      <w:marTop w:val="0"/>
      <w:marBottom w:val="0"/>
      <w:divBdr>
        <w:top w:val="none" w:sz="0" w:space="0" w:color="auto"/>
        <w:left w:val="none" w:sz="0" w:space="0" w:color="auto"/>
        <w:bottom w:val="none" w:sz="0" w:space="0" w:color="auto"/>
        <w:right w:val="none" w:sz="0" w:space="0" w:color="auto"/>
      </w:divBdr>
      <w:divsChild>
        <w:div w:id="1592349249">
          <w:marLeft w:val="0"/>
          <w:marRight w:val="0"/>
          <w:marTop w:val="0"/>
          <w:marBottom w:val="0"/>
          <w:divBdr>
            <w:top w:val="none" w:sz="0" w:space="0" w:color="auto"/>
            <w:left w:val="none" w:sz="0" w:space="0" w:color="auto"/>
            <w:bottom w:val="none" w:sz="0" w:space="0" w:color="auto"/>
            <w:right w:val="none" w:sz="0" w:space="0" w:color="auto"/>
          </w:divBdr>
        </w:div>
      </w:divsChild>
    </w:div>
    <w:div w:id="537400763">
      <w:bodyDiv w:val="1"/>
      <w:marLeft w:val="0"/>
      <w:marRight w:val="0"/>
      <w:marTop w:val="0"/>
      <w:marBottom w:val="0"/>
      <w:divBdr>
        <w:top w:val="none" w:sz="0" w:space="0" w:color="auto"/>
        <w:left w:val="none" w:sz="0" w:space="0" w:color="auto"/>
        <w:bottom w:val="none" w:sz="0" w:space="0" w:color="auto"/>
        <w:right w:val="none" w:sz="0" w:space="0" w:color="auto"/>
      </w:divBdr>
      <w:divsChild>
        <w:div w:id="3017606">
          <w:marLeft w:val="0"/>
          <w:marRight w:val="0"/>
          <w:marTop w:val="0"/>
          <w:marBottom w:val="0"/>
          <w:divBdr>
            <w:top w:val="none" w:sz="0" w:space="0" w:color="auto"/>
            <w:left w:val="none" w:sz="0" w:space="0" w:color="auto"/>
            <w:bottom w:val="none" w:sz="0" w:space="0" w:color="auto"/>
            <w:right w:val="none" w:sz="0" w:space="0" w:color="auto"/>
          </w:divBdr>
        </w:div>
      </w:divsChild>
    </w:div>
    <w:div w:id="835219408">
      <w:bodyDiv w:val="1"/>
      <w:marLeft w:val="0"/>
      <w:marRight w:val="0"/>
      <w:marTop w:val="0"/>
      <w:marBottom w:val="0"/>
      <w:divBdr>
        <w:top w:val="none" w:sz="0" w:space="0" w:color="auto"/>
        <w:left w:val="none" w:sz="0" w:space="0" w:color="auto"/>
        <w:bottom w:val="none" w:sz="0" w:space="0" w:color="auto"/>
        <w:right w:val="none" w:sz="0" w:space="0" w:color="auto"/>
      </w:divBdr>
      <w:divsChild>
        <w:div w:id="1884244648">
          <w:marLeft w:val="0"/>
          <w:marRight w:val="0"/>
          <w:marTop w:val="0"/>
          <w:marBottom w:val="0"/>
          <w:divBdr>
            <w:top w:val="none" w:sz="0" w:space="0" w:color="auto"/>
            <w:left w:val="none" w:sz="0" w:space="0" w:color="auto"/>
            <w:bottom w:val="none" w:sz="0" w:space="0" w:color="auto"/>
            <w:right w:val="none" w:sz="0" w:space="0" w:color="auto"/>
          </w:divBdr>
        </w:div>
      </w:divsChild>
    </w:div>
    <w:div w:id="841285843">
      <w:bodyDiv w:val="1"/>
      <w:marLeft w:val="0"/>
      <w:marRight w:val="0"/>
      <w:marTop w:val="0"/>
      <w:marBottom w:val="0"/>
      <w:divBdr>
        <w:top w:val="none" w:sz="0" w:space="0" w:color="auto"/>
        <w:left w:val="none" w:sz="0" w:space="0" w:color="auto"/>
        <w:bottom w:val="none" w:sz="0" w:space="0" w:color="auto"/>
        <w:right w:val="none" w:sz="0" w:space="0" w:color="auto"/>
      </w:divBdr>
    </w:div>
    <w:div w:id="952636465">
      <w:bodyDiv w:val="1"/>
      <w:marLeft w:val="0"/>
      <w:marRight w:val="0"/>
      <w:marTop w:val="0"/>
      <w:marBottom w:val="0"/>
      <w:divBdr>
        <w:top w:val="none" w:sz="0" w:space="0" w:color="auto"/>
        <w:left w:val="none" w:sz="0" w:space="0" w:color="auto"/>
        <w:bottom w:val="none" w:sz="0" w:space="0" w:color="auto"/>
        <w:right w:val="none" w:sz="0" w:space="0" w:color="auto"/>
      </w:divBdr>
      <w:divsChild>
        <w:div w:id="690836961">
          <w:marLeft w:val="0"/>
          <w:marRight w:val="0"/>
          <w:marTop w:val="0"/>
          <w:marBottom w:val="0"/>
          <w:divBdr>
            <w:top w:val="none" w:sz="0" w:space="0" w:color="auto"/>
            <w:left w:val="none" w:sz="0" w:space="0" w:color="auto"/>
            <w:bottom w:val="none" w:sz="0" w:space="0" w:color="auto"/>
            <w:right w:val="none" w:sz="0" w:space="0" w:color="auto"/>
          </w:divBdr>
        </w:div>
      </w:divsChild>
    </w:div>
    <w:div w:id="1090589075">
      <w:bodyDiv w:val="1"/>
      <w:marLeft w:val="0"/>
      <w:marRight w:val="0"/>
      <w:marTop w:val="0"/>
      <w:marBottom w:val="0"/>
      <w:divBdr>
        <w:top w:val="none" w:sz="0" w:space="0" w:color="auto"/>
        <w:left w:val="none" w:sz="0" w:space="0" w:color="auto"/>
        <w:bottom w:val="none" w:sz="0" w:space="0" w:color="auto"/>
        <w:right w:val="none" w:sz="0" w:space="0" w:color="auto"/>
      </w:divBdr>
      <w:divsChild>
        <w:div w:id="1117799434">
          <w:marLeft w:val="0"/>
          <w:marRight w:val="0"/>
          <w:marTop w:val="0"/>
          <w:marBottom w:val="0"/>
          <w:divBdr>
            <w:top w:val="none" w:sz="0" w:space="0" w:color="auto"/>
            <w:left w:val="none" w:sz="0" w:space="0" w:color="auto"/>
            <w:bottom w:val="none" w:sz="0" w:space="0" w:color="auto"/>
            <w:right w:val="none" w:sz="0" w:space="0" w:color="auto"/>
          </w:divBdr>
        </w:div>
      </w:divsChild>
    </w:div>
    <w:div w:id="1226650195">
      <w:bodyDiv w:val="1"/>
      <w:marLeft w:val="0"/>
      <w:marRight w:val="0"/>
      <w:marTop w:val="0"/>
      <w:marBottom w:val="0"/>
      <w:divBdr>
        <w:top w:val="none" w:sz="0" w:space="0" w:color="auto"/>
        <w:left w:val="none" w:sz="0" w:space="0" w:color="auto"/>
        <w:bottom w:val="none" w:sz="0" w:space="0" w:color="auto"/>
        <w:right w:val="none" w:sz="0" w:space="0" w:color="auto"/>
      </w:divBdr>
      <w:divsChild>
        <w:div w:id="47849986">
          <w:marLeft w:val="0"/>
          <w:marRight w:val="0"/>
          <w:marTop w:val="0"/>
          <w:marBottom w:val="0"/>
          <w:divBdr>
            <w:top w:val="none" w:sz="0" w:space="0" w:color="auto"/>
            <w:left w:val="none" w:sz="0" w:space="0" w:color="auto"/>
            <w:bottom w:val="none" w:sz="0" w:space="0" w:color="auto"/>
            <w:right w:val="none" w:sz="0" w:space="0" w:color="auto"/>
          </w:divBdr>
        </w:div>
      </w:divsChild>
    </w:div>
    <w:div w:id="1258174632">
      <w:bodyDiv w:val="1"/>
      <w:marLeft w:val="0"/>
      <w:marRight w:val="0"/>
      <w:marTop w:val="0"/>
      <w:marBottom w:val="0"/>
      <w:divBdr>
        <w:top w:val="none" w:sz="0" w:space="0" w:color="auto"/>
        <w:left w:val="none" w:sz="0" w:space="0" w:color="auto"/>
        <w:bottom w:val="none" w:sz="0" w:space="0" w:color="auto"/>
        <w:right w:val="none" w:sz="0" w:space="0" w:color="auto"/>
      </w:divBdr>
      <w:divsChild>
        <w:div w:id="842553342">
          <w:marLeft w:val="0"/>
          <w:marRight w:val="0"/>
          <w:marTop w:val="0"/>
          <w:marBottom w:val="0"/>
          <w:divBdr>
            <w:top w:val="none" w:sz="0" w:space="0" w:color="auto"/>
            <w:left w:val="none" w:sz="0" w:space="0" w:color="auto"/>
            <w:bottom w:val="none" w:sz="0" w:space="0" w:color="auto"/>
            <w:right w:val="none" w:sz="0" w:space="0" w:color="auto"/>
          </w:divBdr>
        </w:div>
      </w:divsChild>
    </w:div>
    <w:div w:id="1290628364">
      <w:bodyDiv w:val="1"/>
      <w:marLeft w:val="0"/>
      <w:marRight w:val="0"/>
      <w:marTop w:val="0"/>
      <w:marBottom w:val="0"/>
      <w:divBdr>
        <w:top w:val="none" w:sz="0" w:space="0" w:color="auto"/>
        <w:left w:val="none" w:sz="0" w:space="0" w:color="auto"/>
        <w:bottom w:val="none" w:sz="0" w:space="0" w:color="auto"/>
        <w:right w:val="none" w:sz="0" w:space="0" w:color="auto"/>
      </w:divBdr>
      <w:divsChild>
        <w:div w:id="1395355915">
          <w:marLeft w:val="0"/>
          <w:marRight w:val="0"/>
          <w:marTop w:val="0"/>
          <w:marBottom w:val="0"/>
          <w:divBdr>
            <w:top w:val="none" w:sz="0" w:space="0" w:color="auto"/>
            <w:left w:val="none" w:sz="0" w:space="0" w:color="auto"/>
            <w:bottom w:val="none" w:sz="0" w:space="0" w:color="auto"/>
            <w:right w:val="none" w:sz="0" w:space="0" w:color="auto"/>
          </w:divBdr>
        </w:div>
      </w:divsChild>
    </w:div>
    <w:div w:id="1321809563">
      <w:bodyDiv w:val="1"/>
      <w:marLeft w:val="0"/>
      <w:marRight w:val="0"/>
      <w:marTop w:val="0"/>
      <w:marBottom w:val="0"/>
      <w:divBdr>
        <w:top w:val="none" w:sz="0" w:space="0" w:color="auto"/>
        <w:left w:val="none" w:sz="0" w:space="0" w:color="auto"/>
        <w:bottom w:val="none" w:sz="0" w:space="0" w:color="auto"/>
        <w:right w:val="none" w:sz="0" w:space="0" w:color="auto"/>
      </w:divBdr>
      <w:divsChild>
        <w:div w:id="894119133">
          <w:marLeft w:val="0"/>
          <w:marRight w:val="0"/>
          <w:marTop w:val="0"/>
          <w:marBottom w:val="0"/>
          <w:divBdr>
            <w:top w:val="none" w:sz="0" w:space="0" w:color="auto"/>
            <w:left w:val="none" w:sz="0" w:space="0" w:color="auto"/>
            <w:bottom w:val="none" w:sz="0" w:space="0" w:color="auto"/>
            <w:right w:val="none" w:sz="0" w:space="0" w:color="auto"/>
          </w:divBdr>
        </w:div>
        <w:div w:id="860558321">
          <w:marLeft w:val="0"/>
          <w:marRight w:val="0"/>
          <w:marTop w:val="0"/>
          <w:marBottom w:val="0"/>
          <w:divBdr>
            <w:top w:val="none" w:sz="0" w:space="0" w:color="auto"/>
            <w:left w:val="none" w:sz="0" w:space="0" w:color="auto"/>
            <w:bottom w:val="none" w:sz="0" w:space="0" w:color="auto"/>
            <w:right w:val="none" w:sz="0" w:space="0" w:color="auto"/>
          </w:divBdr>
          <w:divsChild>
            <w:div w:id="1889680957">
              <w:marLeft w:val="0"/>
              <w:marRight w:val="0"/>
              <w:marTop w:val="0"/>
              <w:marBottom w:val="0"/>
              <w:divBdr>
                <w:top w:val="none" w:sz="0" w:space="0" w:color="auto"/>
                <w:left w:val="none" w:sz="0" w:space="0" w:color="auto"/>
                <w:bottom w:val="none" w:sz="0" w:space="0" w:color="auto"/>
                <w:right w:val="none" w:sz="0" w:space="0" w:color="auto"/>
              </w:divBdr>
            </w:div>
          </w:divsChild>
        </w:div>
        <w:div w:id="799415567">
          <w:marLeft w:val="0"/>
          <w:marRight w:val="0"/>
          <w:marTop w:val="0"/>
          <w:marBottom w:val="0"/>
          <w:divBdr>
            <w:top w:val="none" w:sz="0" w:space="0" w:color="auto"/>
            <w:left w:val="none" w:sz="0" w:space="0" w:color="auto"/>
            <w:bottom w:val="none" w:sz="0" w:space="0" w:color="auto"/>
            <w:right w:val="none" w:sz="0" w:space="0" w:color="auto"/>
          </w:divBdr>
          <w:divsChild>
            <w:div w:id="456069092">
              <w:marLeft w:val="0"/>
              <w:marRight w:val="0"/>
              <w:marTop w:val="0"/>
              <w:marBottom w:val="0"/>
              <w:divBdr>
                <w:top w:val="none" w:sz="0" w:space="0" w:color="auto"/>
                <w:left w:val="none" w:sz="0" w:space="0" w:color="auto"/>
                <w:bottom w:val="none" w:sz="0" w:space="0" w:color="auto"/>
                <w:right w:val="none" w:sz="0" w:space="0" w:color="auto"/>
              </w:divBdr>
            </w:div>
          </w:divsChild>
        </w:div>
        <w:div w:id="1433353452">
          <w:marLeft w:val="0"/>
          <w:marRight w:val="0"/>
          <w:marTop w:val="0"/>
          <w:marBottom w:val="0"/>
          <w:divBdr>
            <w:top w:val="none" w:sz="0" w:space="0" w:color="auto"/>
            <w:left w:val="none" w:sz="0" w:space="0" w:color="auto"/>
            <w:bottom w:val="none" w:sz="0" w:space="0" w:color="auto"/>
            <w:right w:val="none" w:sz="0" w:space="0" w:color="auto"/>
          </w:divBdr>
          <w:divsChild>
            <w:div w:id="1333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828">
      <w:bodyDiv w:val="1"/>
      <w:marLeft w:val="0"/>
      <w:marRight w:val="0"/>
      <w:marTop w:val="0"/>
      <w:marBottom w:val="0"/>
      <w:divBdr>
        <w:top w:val="none" w:sz="0" w:space="0" w:color="auto"/>
        <w:left w:val="none" w:sz="0" w:space="0" w:color="auto"/>
        <w:bottom w:val="none" w:sz="0" w:space="0" w:color="auto"/>
        <w:right w:val="none" w:sz="0" w:space="0" w:color="auto"/>
      </w:divBdr>
      <w:divsChild>
        <w:div w:id="1196772083">
          <w:marLeft w:val="0"/>
          <w:marRight w:val="0"/>
          <w:marTop w:val="0"/>
          <w:marBottom w:val="0"/>
          <w:divBdr>
            <w:top w:val="none" w:sz="0" w:space="0" w:color="auto"/>
            <w:left w:val="none" w:sz="0" w:space="0" w:color="auto"/>
            <w:bottom w:val="none" w:sz="0" w:space="0" w:color="auto"/>
            <w:right w:val="none" w:sz="0" w:space="0" w:color="auto"/>
          </w:divBdr>
        </w:div>
      </w:divsChild>
    </w:div>
    <w:div w:id="1896309965">
      <w:bodyDiv w:val="1"/>
      <w:marLeft w:val="0"/>
      <w:marRight w:val="0"/>
      <w:marTop w:val="0"/>
      <w:marBottom w:val="0"/>
      <w:divBdr>
        <w:top w:val="none" w:sz="0" w:space="0" w:color="auto"/>
        <w:left w:val="none" w:sz="0" w:space="0" w:color="auto"/>
        <w:bottom w:val="none" w:sz="0" w:space="0" w:color="auto"/>
        <w:right w:val="none" w:sz="0" w:space="0" w:color="auto"/>
      </w:divBdr>
      <w:divsChild>
        <w:div w:id="1679963012">
          <w:marLeft w:val="0"/>
          <w:marRight w:val="0"/>
          <w:marTop w:val="0"/>
          <w:marBottom w:val="0"/>
          <w:divBdr>
            <w:top w:val="none" w:sz="0" w:space="0" w:color="auto"/>
            <w:left w:val="none" w:sz="0" w:space="0" w:color="auto"/>
            <w:bottom w:val="none" w:sz="0" w:space="0" w:color="auto"/>
            <w:right w:val="none" w:sz="0" w:space="0" w:color="auto"/>
          </w:divBdr>
        </w:div>
      </w:divsChild>
    </w:div>
    <w:div w:id="1900356644">
      <w:bodyDiv w:val="1"/>
      <w:marLeft w:val="0"/>
      <w:marRight w:val="0"/>
      <w:marTop w:val="0"/>
      <w:marBottom w:val="0"/>
      <w:divBdr>
        <w:top w:val="none" w:sz="0" w:space="0" w:color="auto"/>
        <w:left w:val="none" w:sz="0" w:space="0" w:color="auto"/>
        <w:bottom w:val="none" w:sz="0" w:space="0" w:color="auto"/>
        <w:right w:val="none" w:sz="0" w:space="0" w:color="auto"/>
      </w:divBdr>
      <w:divsChild>
        <w:div w:id="171917509">
          <w:marLeft w:val="0"/>
          <w:marRight w:val="0"/>
          <w:marTop w:val="0"/>
          <w:marBottom w:val="0"/>
          <w:divBdr>
            <w:top w:val="none" w:sz="0" w:space="0" w:color="auto"/>
            <w:left w:val="none" w:sz="0" w:space="0" w:color="auto"/>
            <w:bottom w:val="none" w:sz="0" w:space="0" w:color="auto"/>
            <w:right w:val="none" w:sz="0" w:space="0" w:color="auto"/>
          </w:divBdr>
        </w:div>
      </w:divsChild>
    </w:div>
    <w:div w:id="21400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Glass, Robert S.</cp:lastModifiedBy>
  <cp:revision>6</cp:revision>
  <dcterms:created xsi:type="dcterms:W3CDTF">2020-03-30T15:49:00Z</dcterms:created>
  <dcterms:modified xsi:type="dcterms:W3CDTF">2020-03-30T18:46:00Z</dcterms:modified>
</cp:coreProperties>
</file>